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416B" w14:textId="1B990805" w:rsidR="000C0EF8" w:rsidRPr="00366D41" w:rsidRDefault="006636C5" w:rsidP="00DC5D9F">
      <w:pPr>
        <w:spacing w:line="276" w:lineRule="auto"/>
        <w:jc w:val="center"/>
        <w:rPr>
          <w:rFonts w:ascii="Times New Roman" w:hAnsi="Times New Roman" w:cs="Times New Roman"/>
          <w:b/>
          <w:bCs/>
          <w:sz w:val="24"/>
          <w:szCs w:val="24"/>
        </w:rPr>
      </w:pPr>
      <w:r w:rsidRPr="00366D41">
        <w:rPr>
          <w:rFonts w:ascii="Times New Roman" w:hAnsi="Times New Roman" w:cs="Times New Roman"/>
          <w:b/>
          <w:bCs/>
          <w:sz w:val="24"/>
          <w:szCs w:val="24"/>
        </w:rPr>
        <w:t>Discovery of</w:t>
      </w:r>
      <w:r w:rsidR="000C0EF8" w:rsidRPr="00366D41">
        <w:rPr>
          <w:rFonts w:ascii="Times New Roman" w:hAnsi="Times New Roman" w:cs="Times New Roman"/>
          <w:b/>
          <w:bCs/>
          <w:sz w:val="24"/>
          <w:szCs w:val="24"/>
        </w:rPr>
        <w:t xml:space="preserve"> a novel therapeutic candidate </w:t>
      </w:r>
      <w:r w:rsidR="00336278" w:rsidRPr="00366D41">
        <w:rPr>
          <w:rFonts w:ascii="Times New Roman" w:hAnsi="Times New Roman" w:cs="Times New Roman"/>
          <w:b/>
          <w:bCs/>
          <w:sz w:val="24"/>
          <w:szCs w:val="24"/>
        </w:rPr>
        <w:t>against</w:t>
      </w:r>
      <w:r w:rsidR="000C0EF8" w:rsidRPr="00366D41">
        <w:rPr>
          <w:rFonts w:ascii="Times New Roman" w:hAnsi="Times New Roman" w:cs="Times New Roman"/>
          <w:b/>
          <w:bCs/>
          <w:sz w:val="24"/>
          <w:szCs w:val="24"/>
        </w:rPr>
        <w:t xml:space="preserve"> animal trypanosomiasis</w:t>
      </w:r>
    </w:p>
    <w:p w14:paraId="04042AED" w14:textId="7375F382" w:rsidR="00504811" w:rsidRPr="00366D41" w:rsidRDefault="00504811" w:rsidP="00504811">
      <w:pPr>
        <w:jc w:val="both"/>
        <w:rPr>
          <w:rFonts w:ascii="Times New Roman" w:hAnsi="Times New Roman" w:cs="Times New Roman"/>
          <w:color w:val="000000"/>
          <w:lang w:val="es-ES_tradnl"/>
        </w:rPr>
      </w:pPr>
      <w:r w:rsidRPr="00366D41">
        <w:rPr>
          <w:rFonts w:ascii="Times New Roman" w:hAnsi="Times New Roman" w:cs="Times New Roman"/>
          <w:color w:val="000000"/>
          <w:lang w:val="es-ES_tradnl"/>
        </w:rPr>
        <w:t>Kayhan Ilbeigi</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Dorien Mabille</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An Matheeussen</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Rik Hendrickx</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Nick Van Reet</w:t>
      </w:r>
      <w:r w:rsidRPr="00366D41">
        <w:rPr>
          <w:rFonts w:ascii="Times New Roman" w:hAnsi="Times New Roman" w:cs="Times New Roman"/>
          <w:color w:val="000000"/>
          <w:vertAlign w:val="superscript"/>
          <w:lang w:val="es-ES_tradnl"/>
        </w:rPr>
        <w:t>2</w:t>
      </w:r>
      <w:r w:rsidRPr="00366D41">
        <w:rPr>
          <w:rFonts w:ascii="Times New Roman" w:hAnsi="Times New Roman" w:cs="Times New Roman"/>
          <w:color w:val="000000"/>
          <w:lang w:val="es-ES_tradnl"/>
        </w:rPr>
        <w:t>, Birgit Mertens</w:t>
      </w:r>
      <w:r w:rsidRPr="00366D41">
        <w:rPr>
          <w:rFonts w:ascii="Times New Roman" w:hAnsi="Times New Roman" w:cs="Times New Roman"/>
          <w:color w:val="000000"/>
          <w:vertAlign w:val="superscript"/>
          <w:lang w:val="es-ES_tradnl"/>
        </w:rPr>
        <w:t>3</w:t>
      </w:r>
      <w:r w:rsidRPr="00366D41">
        <w:rPr>
          <w:rFonts w:ascii="Times New Roman" w:hAnsi="Times New Roman" w:cs="Times New Roman"/>
          <w:color w:val="000000"/>
          <w:lang w:val="es-ES_tradnl"/>
        </w:rPr>
        <w:t>, Roel Anthonissen</w:t>
      </w:r>
      <w:r w:rsidRPr="00366D41">
        <w:rPr>
          <w:rFonts w:ascii="Times New Roman" w:hAnsi="Times New Roman" w:cs="Times New Roman"/>
          <w:color w:val="000000"/>
          <w:vertAlign w:val="superscript"/>
          <w:lang w:val="es-ES_tradnl"/>
        </w:rPr>
        <w:t>3</w:t>
      </w:r>
      <w:r w:rsidRPr="00366D41">
        <w:rPr>
          <w:rFonts w:ascii="Times New Roman" w:hAnsi="Times New Roman" w:cs="Times New Roman"/>
          <w:color w:val="000000"/>
          <w:lang w:val="es-ES_tradnl"/>
        </w:rPr>
        <w:t>, Fabian Hulpia</w:t>
      </w:r>
      <w:r w:rsidRPr="00366D41">
        <w:rPr>
          <w:rFonts w:ascii="Times New Roman" w:hAnsi="Times New Roman" w:cs="Times New Roman"/>
          <w:color w:val="000000"/>
          <w:vertAlign w:val="superscript"/>
          <w:lang w:val="es-ES_tradnl"/>
        </w:rPr>
        <w:t>4</w:t>
      </w:r>
      <w:r w:rsidRPr="00366D41">
        <w:rPr>
          <w:rFonts w:ascii="Times New Roman" w:hAnsi="Times New Roman" w:cs="Times New Roman"/>
          <w:color w:val="000000"/>
          <w:lang w:val="es-ES_tradnl"/>
        </w:rPr>
        <w:t>, Louis Maes</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Clement Regnault</w:t>
      </w:r>
      <w:r w:rsidRPr="00366D41">
        <w:rPr>
          <w:rFonts w:ascii="Times New Roman" w:hAnsi="Times New Roman" w:cs="Times New Roman"/>
          <w:color w:val="000000"/>
          <w:vertAlign w:val="superscript"/>
          <w:lang w:val="es-ES_tradnl"/>
        </w:rPr>
        <w:t>5</w:t>
      </w:r>
      <w:r w:rsidRPr="00366D41">
        <w:rPr>
          <w:rFonts w:ascii="Times New Roman" w:hAnsi="Times New Roman" w:cs="Times New Roman"/>
          <w:color w:val="000000"/>
          <w:lang w:val="es-ES_tradnl"/>
        </w:rPr>
        <w:t>, Phil Whitfield</w:t>
      </w:r>
      <w:r w:rsidRPr="00366D41">
        <w:rPr>
          <w:rFonts w:ascii="Times New Roman" w:hAnsi="Times New Roman" w:cs="Times New Roman"/>
          <w:color w:val="000000"/>
          <w:vertAlign w:val="superscript"/>
          <w:lang w:val="es-ES_tradnl"/>
        </w:rPr>
        <w:t>5</w:t>
      </w:r>
      <w:r w:rsidRPr="00366D41">
        <w:rPr>
          <w:rFonts w:ascii="Times New Roman" w:hAnsi="Times New Roman" w:cs="Times New Roman"/>
          <w:color w:val="000000"/>
          <w:lang w:val="es-ES_tradnl"/>
        </w:rPr>
        <w:t>, Marzuq A. Ungogo</w:t>
      </w:r>
      <w:r w:rsidRPr="00366D41">
        <w:rPr>
          <w:rFonts w:ascii="Times New Roman" w:hAnsi="Times New Roman" w:cs="Times New Roman"/>
          <w:color w:val="000000"/>
          <w:vertAlign w:val="superscript"/>
          <w:lang w:val="es-ES_tradnl"/>
        </w:rPr>
        <w:t>6</w:t>
      </w:r>
      <w:r w:rsidRPr="00366D41">
        <w:rPr>
          <w:rFonts w:ascii="Times New Roman" w:hAnsi="Times New Roman" w:cs="Times New Roman"/>
          <w:color w:val="000000"/>
          <w:lang w:val="es-ES_tradnl"/>
        </w:rPr>
        <w:t>, Harry P. De Koning</w:t>
      </w:r>
      <w:r w:rsidRPr="00366D41">
        <w:rPr>
          <w:rFonts w:ascii="Times New Roman" w:hAnsi="Times New Roman" w:cs="Times New Roman"/>
          <w:color w:val="000000"/>
          <w:vertAlign w:val="superscript"/>
          <w:lang w:val="es-ES_tradnl"/>
        </w:rPr>
        <w:t>6</w:t>
      </w:r>
      <w:r w:rsidRPr="00366D41">
        <w:rPr>
          <w:rFonts w:ascii="Times New Roman" w:hAnsi="Times New Roman" w:cs="Times New Roman"/>
          <w:color w:val="000000"/>
          <w:lang w:val="es-ES_tradnl"/>
        </w:rPr>
        <w:t>, Serge Van Calenbergh</w:t>
      </w:r>
      <w:r w:rsidR="0040061D" w:rsidRPr="00366D41">
        <w:rPr>
          <w:rFonts w:ascii="Times New Roman" w:hAnsi="Times New Roman" w:cs="Times New Roman"/>
          <w:color w:val="000000"/>
          <w:vertAlign w:val="superscript"/>
          <w:lang w:val="es-ES_tradnl"/>
        </w:rPr>
        <w:t>7</w:t>
      </w:r>
      <w:r w:rsidRPr="00366D41">
        <w:rPr>
          <w:rFonts w:ascii="Times New Roman" w:hAnsi="Times New Roman" w:cs="Times New Roman"/>
          <w:color w:val="000000"/>
          <w:lang w:val="es-ES_tradnl"/>
        </w:rPr>
        <w:t xml:space="preserve">, </w:t>
      </w:r>
      <w:r w:rsidRPr="00366D41">
        <w:rPr>
          <w:rFonts w:ascii="Times New Roman" w:hAnsi="Times New Roman" w:cs="Times New Roman"/>
          <w:color w:val="000000"/>
          <w:u w:val="single"/>
          <w:lang w:val="es-ES_tradnl"/>
        </w:rPr>
        <w:t>Guy Caljon</w:t>
      </w:r>
      <w:r w:rsidRPr="00366D41">
        <w:rPr>
          <w:rFonts w:ascii="Times New Roman" w:hAnsi="Times New Roman" w:cs="Times New Roman"/>
          <w:color w:val="000000"/>
          <w:vertAlign w:val="superscript"/>
          <w:lang w:val="es-ES_tradnl"/>
        </w:rPr>
        <w:t>1</w:t>
      </w:r>
      <w:r w:rsidR="000251E1" w:rsidRPr="00366D41">
        <w:rPr>
          <w:rFonts w:ascii="Times New Roman" w:hAnsi="Times New Roman" w:cs="Times New Roman"/>
          <w:color w:val="000000"/>
          <w:vertAlign w:val="superscript"/>
          <w:lang w:val="es-ES_tradnl"/>
        </w:rPr>
        <w:t>*</w:t>
      </w:r>
    </w:p>
    <w:p w14:paraId="3698D13C" w14:textId="77777777" w:rsidR="00504811" w:rsidRPr="00E9035A" w:rsidRDefault="00504811" w:rsidP="003D0584">
      <w:pPr>
        <w:spacing w:after="0"/>
        <w:jc w:val="both"/>
        <w:rPr>
          <w:rFonts w:ascii="Times New Roman" w:hAnsi="Times New Roman" w:cs="Times New Roman"/>
          <w:color w:val="000000"/>
          <w:sz w:val="18"/>
          <w:szCs w:val="18"/>
          <w:lang w:val="es-ES_tradnl"/>
        </w:rPr>
      </w:pPr>
      <w:r w:rsidRPr="00E9035A">
        <w:rPr>
          <w:rFonts w:ascii="Times New Roman" w:hAnsi="Times New Roman" w:cs="Times New Roman"/>
          <w:color w:val="000000"/>
          <w:sz w:val="18"/>
          <w:szCs w:val="18"/>
          <w:vertAlign w:val="superscript"/>
          <w:lang w:val="es-ES_tradnl"/>
        </w:rPr>
        <w:t>1</w:t>
      </w:r>
      <w:r w:rsidRPr="00E9035A">
        <w:rPr>
          <w:rFonts w:ascii="Times New Roman" w:hAnsi="Times New Roman" w:cs="Times New Roman"/>
          <w:color w:val="000000"/>
          <w:sz w:val="18"/>
          <w:szCs w:val="18"/>
        </w:rPr>
        <w:t>Laboratory of Microbiology, Parasitology and Hygiene (LMPH), University of Antwerp, Antwerp, Belgium</w:t>
      </w:r>
    </w:p>
    <w:p w14:paraId="1F9FC5E9" w14:textId="77777777" w:rsidR="00504811" w:rsidRPr="00E9035A" w:rsidRDefault="00504811" w:rsidP="003D0584">
      <w:pPr>
        <w:spacing w:after="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2</w:t>
      </w:r>
      <w:r w:rsidRPr="00E9035A">
        <w:rPr>
          <w:rFonts w:ascii="Times New Roman" w:hAnsi="Times New Roman" w:cs="Times New Roman"/>
          <w:color w:val="000000"/>
          <w:sz w:val="18"/>
          <w:szCs w:val="18"/>
        </w:rPr>
        <w:t>Protozoology Research Group, Institute of Tropical Medicine, Antwerp, Belgium</w:t>
      </w:r>
    </w:p>
    <w:p w14:paraId="4F7850B0" w14:textId="75CAC92F" w:rsidR="00504811" w:rsidRPr="00E9035A" w:rsidRDefault="00504811" w:rsidP="003D0584">
      <w:pPr>
        <w:spacing w:after="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3</w:t>
      </w:r>
      <w:r w:rsidRPr="00E9035A">
        <w:rPr>
          <w:rFonts w:ascii="Times New Roman" w:hAnsi="Times New Roman" w:cs="Times New Roman"/>
          <w:color w:val="000000"/>
          <w:sz w:val="18"/>
          <w:szCs w:val="18"/>
        </w:rPr>
        <w:t>Sciensano, SD Chemical and Physical Health Risks, Brussels, Belgium</w:t>
      </w:r>
    </w:p>
    <w:p w14:paraId="7F94FC7E" w14:textId="1BA0248F" w:rsidR="0040061D" w:rsidRPr="00E9035A" w:rsidRDefault="0040061D" w:rsidP="003D0584">
      <w:pPr>
        <w:spacing w:after="0"/>
        <w:jc w:val="both"/>
        <w:rPr>
          <w:rFonts w:ascii="Times New Roman" w:hAnsi="Times New Roman" w:cs="Times New Roman"/>
          <w:color w:val="000000"/>
          <w:sz w:val="18"/>
          <w:szCs w:val="18"/>
          <w:lang w:val="en-GB"/>
        </w:rPr>
      </w:pPr>
      <w:r w:rsidRPr="00E9035A">
        <w:rPr>
          <w:rFonts w:ascii="Times New Roman" w:hAnsi="Times New Roman" w:cs="Times New Roman"/>
          <w:sz w:val="18"/>
          <w:szCs w:val="18"/>
          <w:vertAlign w:val="superscript"/>
        </w:rPr>
        <w:t>4</w:t>
      </w:r>
      <w:r w:rsidRPr="00E9035A">
        <w:rPr>
          <w:rFonts w:ascii="Times New Roman" w:hAnsi="Times New Roman" w:cs="Times New Roman"/>
          <w:sz w:val="18"/>
          <w:szCs w:val="18"/>
        </w:rPr>
        <w:t>Janssen Pharmaceutica NV, Janssen Pharmaceutical Companies of Johnson &amp; Johnson, Beerse, Belgium</w:t>
      </w:r>
    </w:p>
    <w:p w14:paraId="3455BE3B" w14:textId="77777777" w:rsidR="00504811" w:rsidRPr="00E9035A" w:rsidRDefault="00504811" w:rsidP="003D0584">
      <w:pPr>
        <w:spacing w:after="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5</w:t>
      </w:r>
      <w:r w:rsidRPr="00E9035A">
        <w:rPr>
          <w:rFonts w:ascii="Times New Roman" w:hAnsi="Times New Roman" w:cs="Times New Roman"/>
          <w:color w:val="000000"/>
          <w:sz w:val="18"/>
          <w:szCs w:val="18"/>
        </w:rPr>
        <w:t>Polyomics, University of Glasgow, Wolfson Wohl Cancer Research Centre, Switchback Rd, Bearsden, Glasgow, UK</w:t>
      </w:r>
    </w:p>
    <w:p w14:paraId="586FBA0B" w14:textId="77777777" w:rsidR="00504811" w:rsidRPr="00E9035A" w:rsidRDefault="00504811" w:rsidP="003D0584">
      <w:pPr>
        <w:spacing w:after="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6</w:t>
      </w:r>
      <w:r w:rsidRPr="00E9035A">
        <w:rPr>
          <w:rFonts w:ascii="Times New Roman" w:hAnsi="Times New Roman" w:cs="Times New Roman"/>
          <w:color w:val="000000"/>
          <w:sz w:val="18"/>
          <w:szCs w:val="18"/>
        </w:rPr>
        <w:t>School of Infection and Immunity, College of Medical, Veterinary and Life Sciences, University of Glasgow, Glasgow G12 8TA, UK</w:t>
      </w:r>
    </w:p>
    <w:p w14:paraId="0EE99939" w14:textId="64749CB6" w:rsidR="0040061D" w:rsidRPr="00E9035A" w:rsidRDefault="0040061D" w:rsidP="00E9035A">
      <w:pPr>
        <w:spacing w:after="12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7</w:t>
      </w:r>
      <w:r w:rsidRPr="00E9035A">
        <w:rPr>
          <w:rFonts w:ascii="Times New Roman" w:hAnsi="Times New Roman" w:cs="Times New Roman"/>
          <w:color w:val="000000"/>
          <w:sz w:val="18"/>
          <w:szCs w:val="18"/>
        </w:rPr>
        <w:t>Laboratory for Medicinal Chemistry (Campus Heymans), Ghent University, Gent, Belgium</w:t>
      </w:r>
    </w:p>
    <w:p w14:paraId="63BFB803" w14:textId="65EBF6EE" w:rsidR="00203C13" w:rsidRPr="00E9035A" w:rsidRDefault="000251E1" w:rsidP="00E9035A">
      <w:pPr>
        <w:spacing w:after="24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rPr>
        <w:t>*Presenting and corresponding author</w:t>
      </w:r>
      <w:r w:rsidR="00203C13" w:rsidRPr="00E9035A">
        <w:rPr>
          <w:rFonts w:ascii="Times New Roman" w:hAnsi="Times New Roman" w:cs="Times New Roman"/>
          <w:color w:val="000000"/>
          <w:sz w:val="18"/>
          <w:szCs w:val="18"/>
        </w:rPr>
        <w:t>, Guy.Caljon@uantwerpen.be</w:t>
      </w:r>
    </w:p>
    <w:p w14:paraId="42FA4549" w14:textId="09706428" w:rsidR="00DC5D9F" w:rsidRDefault="00504811" w:rsidP="00DC5D9F">
      <w:pPr>
        <w:pStyle w:val="AuthorInfo"/>
        <w:tabs>
          <w:tab w:val="clear" w:pos="8640"/>
        </w:tabs>
        <w:jc w:val="both"/>
        <w:rPr>
          <w:bCs/>
          <w:lang w:val="en-GB"/>
        </w:rPr>
      </w:pPr>
      <w:r w:rsidRPr="00E9035A">
        <w:rPr>
          <w:rFonts w:eastAsia="Calibri"/>
          <w:bCs/>
          <w:bdr w:val="none" w:sz="0" w:space="0" w:color="auto" w:frame="1"/>
          <w:lang w:val="en-GB"/>
        </w:rPr>
        <w:t xml:space="preserve">Animal trypanosomiasis (AT) is a widespread disease </w:t>
      </w:r>
      <w:r w:rsidR="003D0584" w:rsidRPr="00E9035A">
        <w:rPr>
          <w:rFonts w:eastAsia="Calibri"/>
          <w:bCs/>
          <w:bdr w:val="none" w:sz="0" w:space="0" w:color="auto" w:frame="1"/>
          <w:lang w:val="en-GB"/>
        </w:rPr>
        <w:t>with a</w:t>
      </w:r>
      <w:r w:rsidRPr="00E9035A">
        <w:rPr>
          <w:rFonts w:eastAsia="Calibri"/>
          <w:bCs/>
          <w:bdr w:val="none" w:sz="0" w:space="0" w:color="auto" w:frame="1"/>
          <w:lang w:val="en-GB"/>
        </w:rPr>
        <w:t xml:space="preserve"> devastating </w:t>
      </w:r>
      <w:r w:rsidR="003D0584" w:rsidRPr="00E9035A">
        <w:rPr>
          <w:rFonts w:eastAsia="Calibri"/>
          <w:bCs/>
          <w:bdr w:val="none" w:sz="0" w:space="0" w:color="auto" w:frame="1"/>
          <w:lang w:val="en-GB"/>
        </w:rPr>
        <w:t>impact</w:t>
      </w:r>
      <w:r w:rsidRPr="00E9035A">
        <w:rPr>
          <w:rFonts w:eastAsia="Calibri"/>
          <w:bCs/>
          <w:bdr w:val="none" w:sz="0" w:space="0" w:color="auto" w:frame="1"/>
          <w:lang w:val="en-GB"/>
        </w:rPr>
        <w:t xml:space="preserve"> on animal husbandry due to the scarcity of efficient drugs and development of drug resistance, hence emphasizing the need for novel treatment options. Following previous identification of 3’-deoxytubercidin as a highly potent trypanocide with curative activity in mouse models of both stage-1 and stage-2 Human African Trypanosomiasis (HAT), we now present a comprehensive preclinical evaluation of new 6-amino substituted tubercidin</w:t>
      </w:r>
      <w:r w:rsidRPr="00E9035A" w:rsidDel="000943E3">
        <w:rPr>
          <w:rFonts w:eastAsia="Calibri"/>
          <w:bCs/>
          <w:bdr w:val="none" w:sz="0" w:space="0" w:color="auto" w:frame="1"/>
          <w:lang w:val="en-GB"/>
        </w:rPr>
        <w:t xml:space="preserve"> </w:t>
      </w:r>
      <w:r w:rsidRPr="00E9035A">
        <w:rPr>
          <w:rFonts w:eastAsia="Calibri"/>
          <w:bCs/>
          <w:bdr w:val="none" w:sz="0" w:space="0" w:color="auto" w:frame="1"/>
          <w:lang w:val="en-GB"/>
        </w:rPr>
        <w:t xml:space="preserve">analogues with promising activity against a broad range of AT species. Potent hits were identified </w:t>
      </w:r>
      <w:r w:rsidRPr="00E9035A">
        <w:rPr>
          <w:rFonts w:eastAsia="Calibri"/>
          <w:bCs/>
          <w:i/>
          <w:iCs/>
          <w:bdr w:val="none" w:sz="0" w:space="0" w:color="auto" w:frame="1"/>
          <w:lang w:val="en-GB"/>
        </w:rPr>
        <w:t>in vitro</w:t>
      </w:r>
      <w:r w:rsidRPr="00E9035A">
        <w:rPr>
          <w:rFonts w:eastAsia="Calibri"/>
          <w:bCs/>
          <w:bdr w:val="none" w:sz="0" w:space="0" w:color="auto" w:frame="1"/>
          <w:lang w:val="en-GB"/>
        </w:rPr>
        <w:t xml:space="preserve"> across all important AT species, </w:t>
      </w:r>
      <w:r w:rsidRPr="00E9035A">
        <w:rPr>
          <w:rFonts w:eastAsia="Calibri"/>
          <w:i/>
          <w:iCs/>
          <w:color w:val="000000"/>
          <w:lang w:val="en-GB"/>
        </w:rPr>
        <w:t>i.e.</w:t>
      </w:r>
      <w:r w:rsidRPr="00E9035A">
        <w:rPr>
          <w:rFonts w:eastAsia="Calibri"/>
          <w:color w:val="000000"/>
          <w:lang w:val="en-GB"/>
        </w:rPr>
        <w:t xml:space="preserve"> </w:t>
      </w:r>
      <w:r w:rsidRPr="00E9035A">
        <w:rPr>
          <w:rFonts w:eastAsia="Calibri"/>
          <w:i/>
          <w:iCs/>
          <w:color w:val="000000"/>
          <w:lang w:val="en-GB"/>
        </w:rPr>
        <w:t>T</w:t>
      </w:r>
      <w:r w:rsidR="00696BC6" w:rsidRPr="00E9035A">
        <w:rPr>
          <w:rFonts w:eastAsia="Calibri"/>
          <w:i/>
          <w:iCs/>
          <w:color w:val="000000"/>
          <w:lang w:val="en-GB"/>
        </w:rPr>
        <w:t>rypanosoma</w:t>
      </w:r>
      <w:r w:rsidRPr="00E9035A">
        <w:rPr>
          <w:rFonts w:eastAsia="Calibri"/>
          <w:i/>
          <w:iCs/>
          <w:color w:val="000000"/>
          <w:lang w:val="en-GB"/>
        </w:rPr>
        <w:t xml:space="preserve"> b</w:t>
      </w:r>
      <w:r w:rsidR="00696BC6" w:rsidRPr="00E9035A">
        <w:rPr>
          <w:rFonts w:eastAsia="Calibri"/>
          <w:i/>
          <w:iCs/>
          <w:color w:val="000000"/>
          <w:lang w:val="en-GB"/>
        </w:rPr>
        <w:t>rucei</w:t>
      </w:r>
      <w:r w:rsidRPr="00E9035A">
        <w:rPr>
          <w:rFonts w:eastAsia="Calibri"/>
          <w:i/>
          <w:iCs/>
          <w:color w:val="000000"/>
          <w:lang w:val="en-GB"/>
        </w:rPr>
        <w:t xml:space="preserve"> brucei</w:t>
      </w:r>
      <w:r w:rsidRPr="00E9035A">
        <w:rPr>
          <w:rFonts w:eastAsia="Calibri"/>
          <w:color w:val="000000"/>
          <w:lang w:val="en-GB"/>
        </w:rPr>
        <w:t xml:space="preserve">, </w:t>
      </w:r>
      <w:r w:rsidRPr="00E9035A">
        <w:t xml:space="preserve">sensitive and isometamidium (ISM)-resistant </w:t>
      </w:r>
      <w:r w:rsidRPr="00E9035A">
        <w:rPr>
          <w:i/>
          <w:iCs/>
        </w:rPr>
        <w:t>T</w:t>
      </w:r>
      <w:r w:rsidR="00696BC6" w:rsidRPr="00E9035A">
        <w:rPr>
          <w:i/>
          <w:iCs/>
        </w:rPr>
        <w:t>rypanosoma</w:t>
      </w:r>
      <w:r w:rsidRPr="00E9035A">
        <w:rPr>
          <w:i/>
          <w:iCs/>
        </w:rPr>
        <w:t xml:space="preserve"> congolense</w:t>
      </w:r>
      <w:r w:rsidRPr="00E9035A">
        <w:rPr>
          <w:rFonts w:eastAsia="Calibri"/>
          <w:color w:val="000000"/>
          <w:lang w:val="en-GB"/>
        </w:rPr>
        <w:t xml:space="preserve">, </w:t>
      </w:r>
      <w:r w:rsidRPr="00E9035A">
        <w:rPr>
          <w:rFonts w:eastAsia="Calibri"/>
          <w:i/>
          <w:iCs/>
          <w:color w:val="000000"/>
          <w:lang w:val="en-GB"/>
        </w:rPr>
        <w:t>T</w:t>
      </w:r>
      <w:r w:rsidR="00696BC6" w:rsidRPr="00E9035A">
        <w:rPr>
          <w:rFonts w:eastAsia="Calibri"/>
          <w:i/>
          <w:iCs/>
          <w:color w:val="000000"/>
          <w:lang w:val="en-GB"/>
        </w:rPr>
        <w:t xml:space="preserve">rypanosoma </w:t>
      </w:r>
      <w:r w:rsidRPr="00E9035A">
        <w:rPr>
          <w:rFonts w:eastAsia="Calibri"/>
          <w:i/>
          <w:iCs/>
          <w:color w:val="000000"/>
          <w:lang w:val="en-GB"/>
        </w:rPr>
        <w:t>vivax</w:t>
      </w:r>
      <w:r w:rsidRPr="00E9035A">
        <w:rPr>
          <w:rFonts w:eastAsia="Calibri"/>
          <w:color w:val="000000"/>
          <w:lang w:val="en-GB"/>
        </w:rPr>
        <w:t xml:space="preserve">, </w:t>
      </w:r>
      <w:r w:rsidRPr="00E9035A">
        <w:rPr>
          <w:rFonts w:eastAsia="Calibri"/>
          <w:i/>
          <w:iCs/>
          <w:color w:val="000000"/>
          <w:lang w:val="en-GB"/>
        </w:rPr>
        <w:t>T</w:t>
      </w:r>
      <w:r w:rsidR="00696BC6" w:rsidRPr="00E9035A">
        <w:rPr>
          <w:rFonts w:eastAsia="Calibri"/>
          <w:i/>
          <w:iCs/>
          <w:color w:val="000000"/>
          <w:lang w:val="en-GB"/>
        </w:rPr>
        <w:t>rypanosoma</w:t>
      </w:r>
      <w:r w:rsidRPr="00E9035A">
        <w:rPr>
          <w:rFonts w:eastAsia="Calibri"/>
          <w:i/>
          <w:iCs/>
          <w:color w:val="000000"/>
          <w:lang w:val="en-GB"/>
        </w:rPr>
        <w:t xml:space="preserve"> evansi</w:t>
      </w:r>
      <w:r w:rsidRPr="00E9035A">
        <w:rPr>
          <w:rFonts w:eastAsia="Calibri"/>
          <w:color w:val="000000"/>
          <w:lang w:val="en-GB"/>
        </w:rPr>
        <w:t xml:space="preserve"> (type A and B) and </w:t>
      </w:r>
      <w:r w:rsidRPr="00E9035A">
        <w:rPr>
          <w:rFonts w:eastAsia="Calibri"/>
          <w:i/>
          <w:iCs/>
          <w:color w:val="000000"/>
          <w:lang w:val="en-GB"/>
        </w:rPr>
        <w:t>T</w:t>
      </w:r>
      <w:r w:rsidR="00696BC6" w:rsidRPr="00E9035A">
        <w:rPr>
          <w:rFonts w:eastAsia="Calibri"/>
          <w:i/>
          <w:iCs/>
          <w:color w:val="000000"/>
          <w:lang w:val="en-GB"/>
        </w:rPr>
        <w:t>rypanosoma</w:t>
      </w:r>
      <w:r w:rsidRPr="00E9035A">
        <w:rPr>
          <w:rFonts w:eastAsia="Calibri"/>
          <w:i/>
          <w:iCs/>
          <w:color w:val="000000"/>
          <w:lang w:val="en-GB"/>
        </w:rPr>
        <w:t xml:space="preserve"> equiperdum</w:t>
      </w:r>
      <w:r w:rsidRPr="00E9035A">
        <w:rPr>
          <w:rFonts w:eastAsia="Calibri"/>
          <w:color w:val="000000"/>
          <w:lang w:val="en-GB"/>
        </w:rPr>
        <w:t xml:space="preserve">. Selected ‘hits’ were further tested for </w:t>
      </w:r>
      <w:r w:rsidRPr="00E9035A">
        <w:rPr>
          <w:rFonts w:eastAsia="Calibri"/>
          <w:i/>
          <w:iCs/>
          <w:color w:val="000000"/>
          <w:lang w:val="en-GB"/>
        </w:rPr>
        <w:t>in vitro</w:t>
      </w:r>
      <w:r w:rsidRPr="00E9035A">
        <w:rPr>
          <w:rFonts w:eastAsia="Calibri"/>
          <w:color w:val="000000"/>
          <w:lang w:val="en-GB"/>
        </w:rPr>
        <w:t xml:space="preserve"> metabolic stability (using bovine, horse and piglet liver microsomes), </w:t>
      </w:r>
      <w:r w:rsidRPr="00E9035A">
        <w:rPr>
          <w:rFonts w:eastAsia="Calibri"/>
          <w:i/>
          <w:iCs/>
          <w:color w:val="000000"/>
          <w:lang w:val="en-GB"/>
        </w:rPr>
        <w:t>in vivo</w:t>
      </w:r>
      <w:r w:rsidRPr="00E9035A">
        <w:rPr>
          <w:rFonts w:eastAsia="Calibri"/>
          <w:color w:val="000000"/>
          <w:lang w:val="en-GB"/>
        </w:rPr>
        <w:t xml:space="preserve"> mouse models for each AT species, genotoxicity assays and mode-of-action studies (</w:t>
      </w:r>
      <w:r w:rsidRPr="00E9035A">
        <w:rPr>
          <w:rFonts w:eastAsia="Calibri"/>
          <w:i/>
          <w:iCs/>
          <w:color w:val="000000"/>
          <w:lang w:val="en-GB"/>
        </w:rPr>
        <w:t>i.e.</w:t>
      </w:r>
      <w:r w:rsidRPr="00E9035A">
        <w:rPr>
          <w:rFonts w:eastAsia="Calibri"/>
          <w:color w:val="000000"/>
          <w:lang w:val="en-GB"/>
        </w:rPr>
        <w:t xml:space="preserve"> genome-wide RNA interference library screening, metabolomics).</w:t>
      </w:r>
      <w:r w:rsidRPr="00E9035A">
        <w:rPr>
          <w:rFonts w:eastAsia="Calibri"/>
          <w:bCs/>
          <w:bdr w:val="none" w:sz="0" w:space="0" w:color="auto" w:frame="1"/>
          <w:lang w:val="en-GB"/>
        </w:rPr>
        <w:t xml:space="preserve"> </w:t>
      </w:r>
      <w:r w:rsidRPr="00E9035A">
        <w:rPr>
          <w:bCs/>
          <w:lang w:val="en-GB"/>
        </w:rPr>
        <w:t xml:space="preserve">Analogue </w:t>
      </w:r>
      <w:r w:rsidRPr="00E9035A">
        <w:rPr>
          <w:b/>
          <w:lang w:val="en-GB"/>
        </w:rPr>
        <w:t>3</w:t>
      </w:r>
      <w:r w:rsidRPr="00E9035A">
        <w:rPr>
          <w:bCs/>
          <w:lang w:val="en-GB"/>
        </w:rPr>
        <w:t xml:space="preserve"> was highly active in </w:t>
      </w:r>
      <w:r w:rsidRPr="00E9035A">
        <w:rPr>
          <w:bCs/>
          <w:i/>
          <w:iCs/>
          <w:lang w:val="en-GB"/>
        </w:rPr>
        <w:t>T. vivax</w:t>
      </w:r>
      <w:r w:rsidRPr="00E9035A">
        <w:rPr>
          <w:bCs/>
          <w:lang w:val="en-GB"/>
        </w:rPr>
        <w:t xml:space="preserve">, </w:t>
      </w:r>
      <w:r w:rsidRPr="00E9035A">
        <w:rPr>
          <w:bCs/>
          <w:i/>
          <w:iCs/>
          <w:lang w:val="en-GB"/>
        </w:rPr>
        <w:t>T. congolense</w:t>
      </w:r>
      <w:r w:rsidRPr="00E9035A">
        <w:rPr>
          <w:bCs/>
          <w:lang w:val="en-GB"/>
        </w:rPr>
        <w:t xml:space="preserve">, </w:t>
      </w:r>
      <w:r w:rsidRPr="00E9035A">
        <w:rPr>
          <w:bCs/>
          <w:i/>
          <w:iCs/>
          <w:lang w:val="en-GB"/>
        </w:rPr>
        <w:t>T. equiperdum</w:t>
      </w:r>
      <w:r w:rsidRPr="00E9035A">
        <w:rPr>
          <w:bCs/>
          <w:lang w:val="en-GB"/>
        </w:rPr>
        <w:t xml:space="preserve">, </w:t>
      </w:r>
      <w:r w:rsidRPr="00E9035A">
        <w:rPr>
          <w:bCs/>
          <w:i/>
          <w:iCs/>
          <w:lang w:val="en-GB"/>
        </w:rPr>
        <w:t>T. evansi</w:t>
      </w:r>
      <w:r w:rsidRPr="00E9035A">
        <w:rPr>
          <w:bCs/>
          <w:lang w:val="en-GB"/>
        </w:rPr>
        <w:t xml:space="preserve"> and </w:t>
      </w:r>
      <w:r w:rsidRPr="00E9035A">
        <w:rPr>
          <w:bCs/>
          <w:i/>
          <w:iCs/>
          <w:lang w:val="en-GB"/>
        </w:rPr>
        <w:t>T. brucei</w:t>
      </w:r>
      <w:r w:rsidRPr="00E9035A">
        <w:rPr>
          <w:bCs/>
          <w:lang w:val="en-GB"/>
        </w:rPr>
        <w:t xml:space="preserve"> curative mouse models. Furthermore, there was no indication of </w:t>
      </w:r>
      <w:r w:rsidRPr="00E9035A">
        <w:rPr>
          <w:bCs/>
          <w:i/>
          <w:iCs/>
          <w:lang w:val="en-GB"/>
        </w:rPr>
        <w:t>in vitro</w:t>
      </w:r>
      <w:r w:rsidRPr="00E9035A">
        <w:rPr>
          <w:bCs/>
          <w:lang w:val="en-GB"/>
        </w:rPr>
        <w:t xml:space="preserve"> genotoxicity as confirmed by Vitotox®, the micronucleus and the comet assay</w:t>
      </w:r>
      <w:r w:rsidR="00B81B01" w:rsidRPr="00E9035A">
        <w:rPr>
          <w:bCs/>
          <w:lang w:val="en-GB"/>
        </w:rPr>
        <w:t>s</w:t>
      </w:r>
      <w:r w:rsidRPr="00E9035A">
        <w:rPr>
          <w:bCs/>
          <w:lang w:val="en-GB"/>
        </w:rPr>
        <w:t xml:space="preserve">. Mode-of-action studies for </w:t>
      </w:r>
      <w:r w:rsidRPr="00E9035A">
        <w:rPr>
          <w:b/>
          <w:lang w:val="en-GB"/>
        </w:rPr>
        <w:t>3</w:t>
      </w:r>
      <w:r w:rsidRPr="00E9035A">
        <w:rPr>
          <w:bCs/>
          <w:lang w:val="en-GB"/>
        </w:rPr>
        <w:t xml:space="preserve"> revealed that the P1 nucleoside transporter and adenosine kinase are involved</w:t>
      </w:r>
      <w:r w:rsidR="00B81B01" w:rsidRPr="00E9035A">
        <w:rPr>
          <w:bCs/>
          <w:lang w:val="en-GB"/>
        </w:rPr>
        <w:t xml:space="preserve"> </w:t>
      </w:r>
      <w:r w:rsidRPr="00E9035A">
        <w:rPr>
          <w:bCs/>
          <w:lang w:val="en-GB"/>
        </w:rPr>
        <w:t>in drug uptake and activation</w:t>
      </w:r>
      <w:r w:rsidR="00B81B01" w:rsidRPr="00E9035A">
        <w:rPr>
          <w:bCs/>
          <w:lang w:val="en-GB"/>
        </w:rPr>
        <w:t>, respectively.</w:t>
      </w:r>
      <w:r w:rsidRPr="00E9035A">
        <w:rPr>
          <w:bCs/>
          <w:lang w:val="en-GB"/>
        </w:rPr>
        <w:t xml:space="preserve"> Given the preferred target product profile for a broad-spectrum drug against AT, analogue </w:t>
      </w:r>
      <w:r w:rsidRPr="00E9035A">
        <w:rPr>
          <w:b/>
          <w:lang w:val="en-GB"/>
        </w:rPr>
        <w:t>3</w:t>
      </w:r>
      <w:r w:rsidRPr="00E9035A">
        <w:rPr>
          <w:bCs/>
          <w:lang w:val="en-GB"/>
        </w:rPr>
        <w:t xml:space="preserve"> represents a promising ‘lead’ candidate for treatment of animal trypanosomiasis, regardless of the causative species.</w:t>
      </w:r>
      <w:r w:rsidR="00DC5D9F">
        <w:rPr>
          <w:bCs/>
          <w:lang w:val="en-GB"/>
        </w:rPr>
        <w:br w:type="page"/>
      </w:r>
    </w:p>
    <w:p w14:paraId="089B8F15" w14:textId="622E34A9" w:rsidR="00DC5D9F" w:rsidRDefault="00DC5D9F" w:rsidP="00DC5D9F">
      <w:pPr>
        <w:jc w:val="center"/>
        <w:rPr>
          <w:rFonts w:ascii="Times New Roman" w:hAnsi="Times New Roman" w:cs="Times New Roman"/>
          <w:b/>
          <w:bCs/>
          <w:sz w:val="24"/>
          <w:szCs w:val="24"/>
        </w:rPr>
      </w:pPr>
      <w:r w:rsidRPr="00DC5D9F">
        <w:rPr>
          <w:rFonts w:ascii="Times New Roman" w:hAnsi="Times New Roman" w:cs="Times New Roman"/>
          <w:b/>
          <w:bCs/>
          <w:sz w:val="24"/>
          <w:szCs w:val="24"/>
        </w:rPr>
        <w:lastRenderedPageBreak/>
        <w:t>Découverte d'un nouveau candidat thérapeutique contre la trypanosomiase animale</w:t>
      </w:r>
    </w:p>
    <w:p w14:paraId="52B5F860" w14:textId="3410EE87" w:rsidR="00DC5D9F" w:rsidRPr="00366D41" w:rsidRDefault="00DC5D9F" w:rsidP="00DC5D9F">
      <w:pPr>
        <w:jc w:val="both"/>
        <w:rPr>
          <w:rFonts w:ascii="Times New Roman" w:hAnsi="Times New Roman" w:cs="Times New Roman"/>
          <w:color w:val="000000"/>
          <w:lang w:val="es-ES_tradnl"/>
        </w:rPr>
      </w:pPr>
      <w:r w:rsidRPr="00366D41">
        <w:rPr>
          <w:rFonts w:ascii="Times New Roman" w:hAnsi="Times New Roman" w:cs="Times New Roman"/>
          <w:color w:val="000000"/>
          <w:lang w:val="es-ES_tradnl"/>
        </w:rPr>
        <w:t>Kayhan Ilbeigi</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Dorien Mabille</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An Matheeussen</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Rik Hendrickx</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Nick Van Reet</w:t>
      </w:r>
      <w:r w:rsidRPr="00366D41">
        <w:rPr>
          <w:rFonts w:ascii="Times New Roman" w:hAnsi="Times New Roman" w:cs="Times New Roman"/>
          <w:color w:val="000000"/>
          <w:vertAlign w:val="superscript"/>
          <w:lang w:val="es-ES_tradnl"/>
        </w:rPr>
        <w:t>2</w:t>
      </w:r>
      <w:r w:rsidRPr="00366D41">
        <w:rPr>
          <w:rFonts w:ascii="Times New Roman" w:hAnsi="Times New Roman" w:cs="Times New Roman"/>
          <w:color w:val="000000"/>
          <w:lang w:val="es-ES_tradnl"/>
        </w:rPr>
        <w:t>, Birgit Mertens</w:t>
      </w:r>
      <w:r w:rsidRPr="00366D41">
        <w:rPr>
          <w:rFonts w:ascii="Times New Roman" w:hAnsi="Times New Roman" w:cs="Times New Roman"/>
          <w:color w:val="000000"/>
          <w:vertAlign w:val="superscript"/>
          <w:lang w:val="es-ES_tradnl"/>
        </w:rPr>
        <w:t>3</w:t>
      </w:r>
      <w:r w:rsidRPr="00366D41">
        <w:rPr>
          <w:rFonts w:ascii="Times New Roman" w:hAnsi="Times New Roman" w:cs="Times New Roman"/>
          <w:color w:val="000000"/>
          <w:lang w:val="es-ES_tradnl"/>
        </w:rPr>
        <w:t>, Roel Anthonissen</w:t>
      </w:r>
      <w:r w:rsidRPr="00366D41">
        <w:rPr>
          <w:rFonts w:ascii="Times New Roman" w:hAnsi="Times New Roman" w:cs="Times New Roman"/>
          <w:color w:val="000000"/>
          <w:vertAlign w:val="superscript"/>
          <w:lang w:val="es-ES_tradnl"/>
        </w:rPr>
        <w:t>3</w:t>
      </w:r>
      <w:r w:rsidRPr="00366D41">
        <w:rPr>
          <w:rFonts w:ascii="Times New Roman" w:hAnsi="Times New Roman" w:cs="Times New Roman"/>
          <w:color w:val="000000"/>
          <w:lang w:val="es-ES_tradnl"/>
        </w:rPr>
        <w:t>, Fabian Hulpia</w:t>
      </w:r>
      <w:r w:rsidRPr="00366D41">
        <w:rPr>
          <w:rFonts w:ascii="Times New Roman" w:hAnsi="Times New Roman" w:cs="Times New Roman"/>
          <w:color w:val="000000"/>
          <w:vertAlign w:val="superscript"/>
          <w:lang w:val="es-ES_tradnl"/>
        </w:rPr>
        <w:t>4</w:t>
      </w:r>
      <w:r w:rsidRPr="00366D41">
        <w:rPr>
          <w:rFonts w:ascii="Times New Roman" w:hAnsi="Times New Roman" w:cs="Times New Roman"/>
          <w:color w:val="000000"/>
          <w:lang w:val="es-ES_tradnl"/>
        </w:rPr>
        <w:t>, Louis Maes</w:t>
      </w:r>
      <w:r w:rsidRPr="00366D41">
        <w:rPr>
          <w:rFonts w:ascii="Times New Roman" w:hAnsi="Times New Roman" w:cs="Times New Roman"/>
          <w:color w:val="000000"/>
          <w:vertAlign w:val="superscript"/>
          <w:lang w:val="es-ES_tradnl"/>
        </w:rPr>
        <w:t>1</w:t>
      </w:r>
      <w:r w:rsidRPr="00366D41">
        <w:rPr>
          <w:rFonts w:ascii="Times New Roman" w:hAnsi="Times New Roman" w:cs="Times New Roman"/>
          <w:color w:val="000000"/>
          <w:lang w:val="es-ES_tradnl"/>
        </w:rPr>
        <w:t>, Clement Regnault</w:t>
      </w:r>
      <w:r w:rsidRPr="00366D41">
        <w:rPr>
          <w:rFonts w:ascii="Times New Roman" w:hAnsi="Times New Roman" w:cs="Times New Roman"/>
          <w:color w:val="000000"/>
          <w:vertAlign w:val="superscript"/>
          <w:lang w:val="es-ES_tradnl"/>
        </w:rPr>
        <w:t>5</w:t>
      </w:r>
      <w:r w:rsidRPr="00366D41">
        <w:rPr>
          <w:rFonts w:ascii="Times New Roman" w:hAnsi="Times New Roman" w:cs="Times New Roman"/>
          <w:color w:val="000000"/>
          <w:lang w:val="es-ES_tradnl"/>
        </w:rPr>
        <w:t>, Phil Whitfield</w:t>
      </w:r>
      <w:r w:rsidRPr="00366D41">
        <w:rPr>
          <w:rFonts w:ascii="Times New Roman" w:hAnsi="Times New Roman" w:cs="Times New Roman"/>
          <w:color w:val="000000"/>
          <w:vertAlign w:val="superscript"/>
          <w:lang w:val="es-ES_tradnl"/>
        </w:rPr>
        <w:t>5</w:t>
      </w:r>
      <w:r w:rsidRPr="00366D41">
        <w:rPr>
          <w:rFonts w:ascii="Times New Roman" w:hAnsi="Times New Roman" w:cs="Times New Roman"/>
          <w:color w:val="000000"/>
          <w:lang w:val="es-ES_tradnl"/>
        </w:rPr>
        <w:t>, Marzuq A. Ungogo</w:t>
      </w:r>
      <w:r w:rsidRPr="00366D41">
        <w:rPr>
          <w:rFonts w:ascii="Times New Roman" w:hAnsi="Times New Roman" w:cs="Times New Roman"/>
          <w:color w:val="000000"/>
          <w:vertAlign w:val="superscript"/>
          <w:lang w:val="es-ES_tradnl"/>
        </w:rPr>
        <w:t>6</w:t>
      </w:r>
      <w:r w:rsidRPr="00366D41">
        <w:rPr>
          <w:rFonts w:ascii="Times New Roman" w:hAnsi="Times New Roman" w:cs="Times New Roman"/>
          <w:color w:val="000000"/>
          <w:lang w:val="es-ES_tradnl"/>
        </w:rPr>
        <w:t>, Harry P. De Koning</w:t>
      </w:r>
      <w:r w:rsidRPr="00366D41">
        <w:rPr>
          <w:rFonts w:ascii="Times New Roman" w:hAnsi="Times New Roman" w:cs="Times New Roman"/>
          <w:color w:val="000000"/>
          <w:vertAlign w:val="superscript"/>
          <w:lang w:val="es-ES_tradnl"/>
        </w:rPr>
        <w:t>6</w:t>
      </w:r>
      <w:r w:rsidRPr="00366D41">
        <w:rPr>
          <w:rFonts w:ascii="Times New Roman" w:hAnsi="Times New Roman" w:cs="Times New Roman"/>
          <w:color w:val="000000"/>
          <w:lang w:val="es-ES_tradnl"/>
        </w:rPr>
        <w:t>, Serge Van Calenbergh</w:t>
      </w:r>
      <w:r w:rsidRPr="00366D41">
        <w:rPr>
          <w:rFonts w:ascii="Times New Roman" w:hAnsi="Times New Roman" w:cs="Times New Roman"/>
          <w:color w:val="000000"/>
          <w:vertAlign w:val="superscript"/>
          <w:lang w:val="es-ES_tradnl"/>
        </w:rPr>
        <w:t>7</w:t>
      </w:r>
      <w:r w:rsidRPr="00366D41">
        <w:rPr>
          <w:rFonts w:ascii="Times New Roman" w:hAnsi="Times New Roman" w:cs="Times New Roman"/>
          <w:color w:val="000000"/>
          <w:lang w:val="es-ES_tradnl"/>
        </w:rPr>
        <w:t xml:space="preserve">, </w:t>
      </w:r>
      <w:r w:rsidRPr="00366D41">
        <w:rPr>
          <w:rFonts w:ascii="Times New Roman" w:hAnsi="Times New Roman" w:cs="Times New Roman"/>
          <w:color w:val="000000"/>
          <w:u w:val="single"/>
          <w:lang w:val="es-ES_tradnl"/>
        </w:rPr>
        <w:t>Guy Caljon</w:t>
      </w:r>
      <w:r w:rsidRPr="00366D41">
        <w:rPr>
          <w:rFonts w:ascii="Times New Roman" w:hAnsi="Times New Roman" w:cs="Times New Roman"/>
          <w:color w:val="000000"/>
          <w:vertAlign w:val="superscript"/>
          <w:lang w:val="es-ES_tradnl"/>
        </w:rPr>
        <w:t>1*</w:t>
      </w:r>
    </w:p>
    <w:p w14:paraId="2A065F21" w14:textId="77777777" w:rsidR="00DC5D9F" w:rsidRPr="00E9035A" w:rsidRDefault="00DC5D9F" w:rsidP="00DC5D9F">
      <w:pPr>
        <w:spacing w:after="0"/>
        <w:jc w:val="both"/>
        <w:rPr>
          <w:rFonts w:ascii="Times New Roman" w:hAnsi="Times New Roman" w:cs="Times New Roman"/>
          <w:color w:val="000000"/>
          <w:sz w:val="18"/>
          <w:szCs w:val="18"/>
          <w:lang w:val="es-ES_tradnl"/>
        </w:rPr>
      </w:pPr>
      <w:r w:rsidRPr="00E9035A">
        <w:rPr>
          <w:rFonts w:ascii="Times New Roman" w:hAnsi="Times New Roman" w:cs="Times New Roman"/>
          <w:color w:val="000000"/>
          <w:sz w:val="18"/>
          <w:szCs w:val="18"/>
          <w:vertAlign w:val="superscript"/>
          <w:lang w:val="es-ES_tradnl"/>
        </w:rPr>
        <w:t>1</w:t>
      </w:r>
      <w:r w:rsidRPr="00E9035A">
        <w:rPr>
          <w:rFonts w:ascii="Times New Roman" w:hAnsi="Times New Roman" w:cs="Times New Roman"/>
          <w:color w:val="000000"/>
          <w:sz w:val="18"/>
          <w:szCs w:val="18"/>
        </w:rPr>
        <w:t>Laboratory of Microbiology, Parasitology and Hygiene (LMPH), University of Antwerp, Antwerp, Belgium</w:t>
      </w:r>
    </w:p>
    <w:p w14:paraId="517C502D" w14:textId="77777777" w:rsidR="00DC5D9F" w:rsidRPr="00E9035A" w:rsidRDefault="00DC5D9F" w:rsidP="00DC5D9F">
      <w:pPr>
        <w:spacing w:after="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2</w:t>
      </w:r>
      <w:r w:rsidRPr="00E9035A">
        <w:rPr>
          <w:rFonts w:ascii="Times New Roman" w:hAnsi="Times New Roman" w:cs="Times New Roman"/>
          <w:color w:val="000000"/>
          <w:sz w:val="18"/>
          <w:szCs w:val="18"/>
        </w:rPr>
        <w:t>Protozoology Research Group, Institute of Tropical Medicine, Antwerp, Belgium</w:t>
      </w:r>
    </w:p>
    <w:p w14:paraId="291CAA5C" w14:textId="77777777" w:rsidR="00DC5D9F" w:rsidRPr="00E9035A" w:rsidRDefault="00DC5D9F" w:rsidP="00DC5D9F">
      <w:pPr>
        <w:spacing w:after="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3</w:t>
      </w:r>
      <w:r w:rsidRPr="00E9035A">
        <w:rPr>
          <w:rFonts w:ascii="Times New Roman" w:hAnsi="Times New Roman" w:cs="Times New Roman"/>
          <w:color w:val="000000"/>
          <w:sz w:val="18"/>
          <w:szCs w:val="18"/>
        </w:rPr>
        <w:t>Sciensano, SD Chemical and Physical Health Risks, Brussels, Belgium</w:t>
      </w:r>
    </w:p>
    <w:p w14:paraId="4BC0675C" w14:textId="77777777" w:rsidR="00DC5D9F" w:rsidRPr="00E9035A" w:rsidRDefault="00DC5D9F" w:rsidP="00DC5D9F">
      <w:pPr>
        <w:spacing w:after="0"/>
        <w:jc w:val="both"/>
        <w:rPr>
          <w:rFonts w:ascii="Times New Roman" w:hAnsi="Times New Roman" w:cs="Times New Roman"/>
          <w:color w:val="000000"/>
          <w:sz w:val="18"/>
          <w:szCs w:val="18"/>
          <w:lang w:val="en-GB"/>
        </w:rPr>
      </w:pPr>
      <w:r w:rsidRPr="00E9035A">
        <w:rPr>
          <w:rFonts w:ascii="Times New Roman" w:hAnsi="Times New Roman" w:cs="Times New Roman"/>
          <w:sz w:val="18"/>
          <w:szCs w:val="18"/>
          <w:vertAlign w:val="superscript"/>
        </w:rPr>
        <w:t>4</w:t>
      </w:r>
      <w:r w:rsidRPr="00E9035A">
        <w:rPr>
          <w:rFonts w:ascii="Times New Roman" w:hAnsi="Times New Roman" w:cs="Times New Roman"/>
          <w:sz w:val="18"/>
          <w:szCs w:val="18"/>
        </w:rPr>
        <w:t>Janssen Pharmaceutica NV, Janssen Pharmaceutical Companies of Johnson &amp; Johnson, Beerse, Belgium</w:t>
      </w:r>
    </w:p>
    <w:p w14:paraId="2F4A0964" w14:textId="77777777" w:rsidR="00DC5D9F" w:rsidRPr="00E9035A" w:rsidRDefault="00DC5D9F" w:rsidP="00DC5D9F">
      <w:pPr>
        <w:spacing w:after="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5</w:t>
      </w:r>
      <w:r w:rsidRPr="00E9035A">
        <w:rPr>
          <w:rFonts w:ascii="Times New Roman" w:hAnsi="Times New Roman" w:cs="Times New Roman"/>
          <w:color w:val="000000"/>
          <w:sz w:val="18"/>
          <w:szCs w:val="18"/>
        </w:rPr>
        <w:t>Polyomics, University of Glasgow, Wolfson Wohl Cancer Research Centre, Switchback Rd, Bearsden, Glasgow, UK</w:t>
      </w:r>
    </w:p>
    <w:p w14:paraId="46571A6B" w14:textId="77777777" w:rsidR="00DC5D9F" w:rsidRPr="00E9035A" w:rsidRDefault="00DC5D9F" w:rsidP="00DC5D9F">
      <w:pPr>
        <w:spacing w:after="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6</w:t>
      </w:r>
      <w:r w:rsidRPr="00E9035A">
        <w:rPr>
          <w:rFonts w:ascii="Times New Roman" w:hAnsi="Times New Roman" w:cs="Times New Roman"/>
          <w:color w:val="000000"/>
          <w:sz w:val="18"/>
          <w:szCs w:val="18"/>
        </w:rPr>
        <w:t>School of Infection and Immunity, College of Medical, Veterinary and Life Sciences, University of Glasgow, Glasgow G12 8TA, UK</w:t>
      </w:r>
    </w:p>
    <w:p w14:paraId="169D5397" w14:textId="77777777" w:rsidR="00DC5D9F" w:rsidRPr="00E9035A" w:rsidRDefault="00DC5D9F" w:rsidP="00DC5D9F">
      <w:pPr>
        <w:spacing w:after="120" w:line="240" w:lineRule="auto"/>
        <w:jc w:val="both"/>
        <w:rPr>
          <w:rFonts w:ascii="Times New Roman" w:hAnsi="Times New Roman" w:cs="Times New Roman"/>
          <w:color w:val="000000"/>
          <w:sz w:val="18"/>
          <w:szCs w:val="18"/>
        </w:rPr>
      </w:pPr>
      <w:r w:rsidRPr="00E9035A">
        <w:rPr>
          <w:rFonts w:ascii="Times New Roman" w:hAnsi="Times New Roman" w:cs="Times New Roman"/>
          <w:color w:val="000000"/>
          <w:sz w:val="18"/>
          <w:szCs w:val="18"/>
          <w:vertAlign w:val="superscript"/>
        </w:rPr>
        <w:t>7</w:t>
      </w:r>
      <w:r w:rsidRPr="00E9035A">
        <w:rPr>
          <w:rFonts w:ascii="Times New Roman" w:hAnsi="Times New Roman" w:cs="Times New Roman"/>
          <w:color w:val="000000"/>
          <w:sz w:val="18"/>
          <w:szCs w:val="18"/>
        </w:rPr>
        <w:t>Laboratory for Medicinal Chemistry (Campus Heymans), Ghent University, Gent, Belgium</w:t>
      </w:r>
    </w:p>
    <w:p w14:paraId="70711940" w14:textId="77777777" w:rsidR="00DC5D9F" w:rsidRPr="00434E77" w:rsidRDefault="00DC5D9F" w:rsidP="00DC5D9F">
      <w:pPr>
        <w:spacing w:after="240" w:line="240" w:lineRule="auto"/>
        <w:rPr>
          <w:rFonts w:ascii="Times New Roman" w:hAnsi="Times New Roman" w:cs="Times New Roman"/>
        </w:rPr>
      </w:pPr>
      <w:r w:rsidRPr="00E44784">
        <w:rPr>
          <w:rFonts w:ascii="Times New Roman" w:hAnsi="Times New Roman" w:cs="Times New Roman"/>
          <w:sz w:val="20"/>
          <w:szCs w:val="20"/>
        </w:rPr>
        <w:t>*</w:t>
      </w:r>
      <w:r w:rsidRPr="00434E77">
        <w:rPr>
          <w:rFonts w:ascii="inherit" w:eastAsia="Times New Roman" w:hAnsi="inherit" w:cs="Courier New"/>
          <w:color w:val="202124"/>
          <w:sz w:val="42"/>
          <w:szCs w:val="42"/>
          <w:lang w:val="fr-FR"/>
        </w:rPr>
        <w:t xml:space="preserve"> </w:t>
      </w:r>
      <w:r w:rsidRPr="00434E77">
        <w:rPr>
          <w:rFonts w:ascii="Times New Roman" w:hAnsi="Times New Roman" w:cs="Times New Roman"/>
          <w:sz w:val="20"/>
          <w:szCs w:val="20"/>
          <w:lang w:val="fr-FR"/>
        </w:rPr>
        <w:t>Auteur présentateur et correspondant</w:t>
      </w:r>
      <w:r w:rsidRPr="00434E77">
        <w:rPr>
          <w:rFonts w:ascii="Times New Roman" w:hAnsi="Times New Roman" w:cs="Times New Roman"/>
          <w:sz w:val="20"/>
          <w:szCs w:val="20"/>
        </w:rPr>
        <w:t>, Guy</w:t>
      </w:r>
      <w:r w:rsidRPr="00E44784">
        <w:rPr>
          <w:rFonts w:ascii="Times New Roman" w:hAnsi="Times New Roman" w:cs="Times New Roman"/>
          <w:sz w:val="20"/>
          <w:szCs w:val="20"/>
        </w:rPr>
        <w:t>.Caljon@uantwerpen.be</w:t>
      </w:r>
    </w:p>
    <w:p w14:paraId="080C507F" w14:textId="7F0C576F" w:rsidR="00366D41" w:rsidRPr="00366D41" w:rsidRDefault="00DC5D9F" w:rsidP="00E9035A">
      <w:pPr>
        <w:pStyle w:val="AuthorInfo"/>
        <w:tabs>
          <w:tab w:val="clear" w:pos="8640"/>
        </w:tabs>
        <w:jc w:val="both"/>
        <w:rPr>
          <w:lang w:val="en-GB"/>
        </w:rPr>
      </w:pPr>
      <w:r w:rsidRPr="00DC5D9F">
        <w:rPr>
          <w:rFonts w:eastAsia="Calibri"/>
          <w:bCs/>
          <w:bdr w:val="none" w:sz="0" w:space="0" w:color="auto" w:frame="1"/>
          <w:lang w:val="en-GB"/>
        </w:rPr>
        <w:t>La trypanosomiase animale (TA) est une maladie répandue avec un impact dévastateur sur l'élevage en raison de la rareté de médicaments efficaces et du développement de la résistance, ce qui souligne la nécessité de nouvelles options de traitement. Suite à l'identification précédente de la 3'-désoxytubercidine avec une activité curative dans des modèles murins de stade 1 et de stade 2 de la trypanosomiase humaine africaine (THA), nous présentons maintenant une évaluation préclinique de nouveaux analogues de tuberc</w:t>
      </w:r>
      <w:r>
        <w:rPr>
          <w:rFonts w:eastAsia="Calibri"/>
          <w:bCs/>
          <w:bdr w:val="none" w:sz="0" w:space="0" w:color="auto" w:frame="1"/>
          <w:lang w:val="en-GB"/>
        </w:rPr>
        <w:t>idin</w:t>
      </w:r>
      <w:r w:rsidRPr="00DC5D9F">
        <w:rPr>
          <w:rFonts w:eastAsia="Calibri"/>
          <w:bCs/>
          <w:bdr w:val="none" w:sz="0" w:space="0" w:color="auto" w:frame="1"/>
          <w:lang w:val="en-GB"/>
        </w:rPr>
        <w:t xml:space="preserve"> avec une activité prometteuse contre un large éventail d'espèces </w:t>
      </w:r>
      <w:r>
        <w:rPr>
          <w:rFonts w:eastAsia="Calibri"/>
          <w:bCs/>
          <w:bdr w:val="none" w:sz="0" w:space="0" w:color="auto" w:frame="1"/>
          <w:lang w:val="en-GB"/>
        </w:rPr>
        <w:t>TA</w:t>
      </w:r>
      <w:r w:rsidRPr="00DC5D9F">
        <w:rPr>
          <w:rFonts w:eastAsia="Calibri"/>
          <w:bCs/>
          <w:bdr w:val="none" w:sz="0" w:space="0" w:color="auto" w:frame="1"/>
          <w:lang w:val="en-GB"/>
        </w:rPr>
        <w:t xml:space="preserve">. </w:t>
      </w:r>
      <w:r>
        <w:rPr>
          <w:rFonts w:eastAsia="Calibri"/>
          <w:bCs/>
          <w:bdr w:val="none" w:sz="0" w:space="0" w:color="auto" w:frame="1"/>
          <w:lang w:val="en-GB"/>
        </w:rPr>
        <w:t>Les analogues</w:t>
      </w:r>
      <w:r w:rsidRPr="00DC5D9F">
        <w:rPr>
          <w:rFonts w:eastAsia="Calibri"/>
          <w:bCs/>
          <w:bdr w:val="none" w:sz="0" w:space="0" w:color="auto" w:frame="1"/>
          <w:lang w:val="en-GB"/>
        </w:rPr>
        <w:t xml:space="preserve"> ont été identifiés </w:t>
      </w:r>
      <w:r w:rsidRPr="00DC5D9F">
        <w:rPr>
          <w:rFonts w:eastAsia="Calibri"/>
          <w:bCs/>
          <w:i/>
          <w:iCs/>
          <w:bdr w:val="none" w:sz="0" w:space="0" w:color="auto" w:frame="1"/>
          <w:lang w:val="en-GB"/>
        </w:rPr>
        <w:t>in vitro</w:t>
      </w:r>
      <w:r w:rsidRPr="00DC5D9F">
        <w:rPr>
          <w:rFonts w:eastAsia="Calibri"/>
          <w:bCs/>
          <w:bdr w:val="none" w:sz="0" w:space="0" w:color="auto" w:frame="1"/>
          <w:lang w:val="en-GB"/>
        </w:rPr>
        <w:t xml:space="preserve"> dans toutes les espèces </w:t>
      </w:r>
      <w:r>
        <w:rPr>
          <w:rFonts w:eastAsia="Calibri"/>
          <w:bCs/>
          <w:bdr w:val="none" w:sz="0" w:space="0" w:color="auto" w:frame="1"/>
          <w:lang w:val="en-GB"/>
        </w:rPr>
        <w:t>TA</w:t>
      </w:r>
      <w:r w:rsidRPr="00DC5D9F">
        <w:rPr>
          <w:rFonts w:eastAsia="Calibri"/>
          <w:bCs/>
          <w:bdr w:val="none" w:sz="0" w:space="0" w:color="auto" w:frame="1"/>
          <w:lang w:val="en-GB"/>
        </w:rPr>
        <w:t xml:space="preserve"> importantes, </w:t>
      </w:r>
      <w:r w:rsidRPr="00DC5D9F">
        <w:rPr>
          <w:rFonts w:eastAsia="Calibri"/>
          <w:bCs/>
          <w:i/>
          <w:iCs/>
          <w:bdr w:val="none" w:sz="0" w:space="0" w:color="auto" w:frame="1"/>
          <w:lang w:val="en-GB"/>
        </w:rPr>
        <w:t>Trypanosoma brucei brucei</w:t>
      </w:r>
      <w:r w:rsidRPr="00DC5D9F">
        <w:rPr>
          <w:rFonts w:eastAsia="Calibri"/>
          <w:bCs/>
          <w:bdr w:val="none" w:sz="0" w:space="0" w:color="auto" w:frame="1"/>
          <w:lang w:val="en-GB"/>
        </w:rPr>
        <w:t xml:space="preserve">, </w:t>
      </w:r>
      <w:r w:rsidRPr="00DC5D9F">
        <w:rPr>
          <w:rFonts w:eastAsia="Calibri"/>
          <w:bCs/>
          <w:i/>
          <w:iCs/>
          <w:bdr w:val="none" w:sz="0" w:space="0" w:color="auto" w:frame="1"/>
          <w:lang w:val="en-GB"/>
        </w:rPr>
        <w:t>Trypanosoma congolense</w:t>
      </w:r>
      <w:r w:rsidRPr="00DC5D9F">
        <w:rPr>
          <w:rFonts w:eastAsia="Calibri"/>
          <w:bCs/>
          <w:bdr w:val="none" w:sz="0" w:space="0" w:color="auto" w:frame="1"/>
          <w:lang w:val="en-GB"/>
        </w:rPr>
        <w:t xml:space="preserve"> sensible et résistant à l'isométamidium (ISM), </w:t>
      </w:r>
      <w:r w:rsidRPr="00DC5D9F">
        <w:rPr>
          <w:rFonts w:eastAsia="Calibri"/>
          <w:bCs/>
          <w:i/>
          <w:iCs/>
          <w:bdr w:val="none" w:sz="0" w:space="0" w:color="auto" w:frame="1"/>
          <w:lang w:val="en-GB"/>
        </w:rPr>
        <w:t>Trypanosoma vivax</w:t>
      </w:r>
      <w:r w:rsidRPr="00DC5D9F">
        <w:rPr>
          <w:rFonts w:eastAsia="Calibri"/>
          <w:bCs/>
          <w:bdr w:val="none" w:sz="0" w:space="0" w:color="auto" w:frame="1"/>
          <w:lang w:val="en-GB"/>
        </w:rPr>
        <w:t xml:space="preserve">, </w:t>
      </w:r>
      <w:r w:rsidRPr="00DC5D9F">
        <w:rPr>
          <w:rFonts w:eastAsia="Calibri"/>
          <w:bCs/>
          <w:i/>
          <w:iCs/>
          <w:bdr w:val="none" w:sz="0" w:space="0" w:color="auto" w:frame="1"/>
          <w:lang w:val="en-GB"/>
        </w:rPr>
        <w:t>Trypanosoma evansi</w:t>
      </w:r>
      <w:r w:rsidRPr="00DC5D9F">
        <w:rPr>
          <w:rFonts w:eastAsia="Calibri"/>
          <w:bCs/>
          <w:bdr w:val="none" w:sz="0" w:space="0" w:color="auto" w:frame="1"/>
          <w:lang w:val="en-GB"/>
        </w:rPr>
        <w:t xml:space="preserve"> (types A et B) et </w:t>
      </w:r>
      <w:r w:rsidRPr="00DC5D9F">
        <w:rPr>
          <w:rFonts w:eastAsia="Calibri"/>
          <w:bCs/>
          <w:i/>
          <w:iCs/>
          <w:bdr w:val="none" w:sz="0" w:space="0" w:color="auto" w:frame="1"/>
          <w:lang w:val="en-GB"/>
        </w:rPr>
        <w:t>Trypanosoma equiperdum</w:t>
      </w:r>
      <w:r w:rsidRPr="00DC5D9F">
        <w:rPr>
          <w:rFonts w:eastAsia="Calibri"/>
          <w:bCs/>
          <w:bdr w:val="none" w:sz="0" w:space="0" w:color="auto" w:frame="1"/>
          <w:lang w:val="en-GB"/>
        </w:rPr>
        <w:t xml:space="preserve">. </w:t>
      </w:r>
      <w:r>
        <w:rPr>
          <w:rFonts w:eastAsia="Calibri"/>
          <w:bCs/>
          <w:bdr w:val="none" w:sz="0" w:space="0" w:color="auto" w:frame="1"/>
          <w:lang w:val="en-GB"/>
        </w:rPr>
        <w:t>L</w:t>
      </w:r>
      <w:r w:rsidRPr="00DC5D9F">
        <w:rPr>
          <w:rFonts w:eastAsia="Calibri"/>
          <w:bCs/>
          <w:bdr w:val="none" w:sz="0" w:space="0" w:color="auto" w:frame="1"/>
          <w:lang w:val="en-GB"/>
        </w:rPr>
        <w:t xml:space="preserve">es « hits » sélectionnés ont ensuite été testés pour la stabilité métabolique </w:t>
      </w:r>
      <w:r w:rsidRPr="00DC5D9F">
        <w:rPr>
          <w:rFonts w:eastAsia="Calibri"/>
          <w:bCs/>
          <w:i/>
          <w:iCs/>
          <w:bdr w:val="none" w:sz="0" w:space="0" w:color="auto" w:frame="1"/>
          <w:lang w:val="en-GB"/>
        </w:rPr>
        <w:t>in vitro</w:t>
      </w:r>
      <w:r w:rsidRPr="00DC5D9F">
        <w:rPr>
          <w:rFonts w:eastAsia="Calibri"/>
          <w:bCs/>
          <w:bdr w:val="none" w:sz="0" w:space="0" w:color="auto" w:frame="1"/>
          <w:lang w:val="en-GB"/>
        </w:rPr>
        <w:t>, des modèles de souris pour chaque espèce d</w:t>
      </w:r>
      <w:r>
        <w:rPr>
          <w:rFonts w:eastAsia="Calibri"/>
          <w:bCs/>
          <w:bdr w:val="none" w:sz="0" w:space="0" w:color="auto" w:frame="1"/>
          <w:lang w:val="en-GB"/>
        </w:rPr>
        <w:t>e TA</w:t>
      </w:r>
      <w:r w:rsidRPr="00DC5D9F">
        <w:rPr>
          <w:rFonts w:eastAsia="Calibri"/>
          <w:bCs/>
          <w:bdr w:val="none" w:sz="0" w:space="0" w:color="auto" w:frame="1"/>
          <w:lang w:val="en-GB"/>
        </w:rPr>
        <w:t>, des tests de génotoxicité et des études de mode d'action (</w:t>
      </w:r>
      <w:r>
        <w:rPr>
          <w:rFonts w:eastAsia="Calibri"/>
          <w:bCs/>
          <w:bdr w:val="none" w:sz="0" w:space="0" w:color="auto" w:frame="1"/>
          <w:lang w:val="en-GB"/>
        </w:rPr>
        <w:t>iARN</w:t>
      </w:r>
      <w:r w:rsidRPr="00DC5D9F">
        <w:rPr>
          <w:rFonts w:eastAsia="Calibri"/>
          <w:bCs/>
          <w:bdr w:val="none" w:sz="0" w:space="0" w:color="auto" w:frame="1"/>
          <w:lang w:val="en-GB"/>
        </w:rPr>
        <w:t xml:space="preserve">, métabolomique). L'analogue </w:t>
      </w:r>
      <w:r w:rsidRPr="005C5BD9">
        <w:rPr>
          <w:rFonts w:eastAsia="Calibri"/>
          <w:b/>
          <w:bdr w:val="none" w:sz="0" w:space="0" w:color="auto" w:frame="1"/>
          <w:lang w:val="en-GB"/>
        </w:rPr>
        <w:t>3</w:t>
      </w:r>
      <w:r w:rsidRPr="00DC5D9F">
        <w:rPr>
          <w:rFonts w:eastAsia="Calibri"/>
          <w:bCs/>
          <w:bdr w:val="none" w:sz="0" w:space="0" w:color="auto" w:frame="1"/>
          <w:lang w:val="en-GB"/>
        </w:rPr>
        <w:t xml:space="preserve"> était très actif </w:t>
      </w:r>
      <w:r w:rsidR="00276B46" w:rsidRPr="00276B46">
        <w:rPr>
          <w:rFonts w:eastAsia="Calibri"/>
          <w:bCs/>
          <w:i/>
          <w:iCs/>
          <w:bdr w:val="none" w:sz="0" w:space="0" w:color="auto" w:frame="1"/>
          <w:lang w:val="en-GB"/>
        </w:rPr>
        <w:t>in vivo</w:t>
      </w:r>
      <w:r w:rsidR="00276B46">
        <w:rPr>
          <w:rFonts w:eastAsia="Calibri"/>
          <w:bCs/>
          <w:bdr w:val="none" w:sz="0" w:space="0" w:color="auto" w:frame="1"/>
          <w:lang w:val="en-GB"/>
        </w:rPr>
        <w:t xml:space="preserve"> contre</w:t>
      </w:r>
      <w:r w:rsidRPr="00DC5D9F">
        <w:rPr>
          <w:rFonts w:eastAsia="Calibri"/>
          <w:bCs/>
          <w:bdr w:val="none" w:sz="0" w:space="0" w:color="auto" w:frame="1"/>
          <w:lang w:val="en-GB"/>
        </w:rPr>
        <w:t xml:space="preserve"> </w:t>
      </w:r>
      <w:r w:rsidRPr="00DC5D9F">
        <w:rPr>
          <w:rFonts w:eastAsia="Calibri"/>
          <w:bCs/>
          <w:i/>
          <w:iCs/>
          <w:bdr w:val="none" w:sz="0" w:space="0" w:color="auto" w:frame="1"/>
          <w:lang w:val="en-GB"/>
        </w:rPr>
        <w:t>T. vivax</w:t>
      </w:r>
      <w:r w:rsidRPr="00DC5D9F">
        <w:rPr>
          <w:rFonts w:eastAsia="Calibri"/>
          <w:bCs/>
          <w:bdr w:val="none" w:sz="0" w:space="0" w:color="auto" w:frame="1"/>
          <w:lang w:val="en-GB"/>
        </w:rPr>
        <w:t xml:space="preserve">, </w:t>
      </w:r>
      <w:r w:rsidRPr="00DC5D9F">
        <w:rPr>
          <w:rFonts w:eastAsia="Calibri"/>
          <w:bCs/>
          <w:i/>
          <w:iCs/>
          <w:bdr w:val="none" w:sz="0" w:space="0" w:color="auto" w:frame="1"/>
          <w:lang w:val="en-GB"/>
        </w:rPr>
        <w:t>T. congolense</w:t>
      </w:r>
      <w:r w:rsidRPr="00DC5D9F">
        <w:rPr>
          <w:rFonts w:eastAsia="Calibri"/>
          <w:bCs/>
          <w:bdr w:val="none" w:sz="0" w:space="0" w:color="auto" w:frame="1"/>
          <w:lang w:val="en-GB"/>
        </w:rPr>
        <w:t xml:space="preserve">, </w:t>
      </w:r>
      <w:r w:rsidRPr="00DC5D9F">
        <w:rPr>
          <w:rFonts w:eastAsia="Calibri"/>
          <w:bCs/>
          <w:i/>
          <w:iCs/>
          <w:bdr w:val="none" w:sz="0" w:space="0" w:color="auto" w:frame="1"/>
          <w:lang w:val="en-GB"/>
        </w:rPr>
        <w:t>T. equiperdum</w:t>
      </w:r>
      <w:r w:rsidRPr="00DC5D9F">
        <w:rPr>
          <w:rFonts w:eastAsia="Calibri"/>
          <w:bCs/>
          <w:bdr w:val="none" w:sz="0" w:space="0" w:color="auto" w:frame="1"/>
          <w:lang w:val="en-GB"/>
        </w:rPr>
        <w:t xml:space="preserve">, </w:t>
      </w:r>
      <w:r w:rsidRPr="00DC5D9F">
        <w:rPr>
          <w:rFonts w:eastAsia="Calibri"/>
          <w:bCs/>
          <w:i/>
          <w:iCs/>
          <w:bdr w:val="none" w:sz="0" w:space="0" w:color="auto" w:frame="1"/>
          <w:lang w:val="en-GB"/>
        </w:rPr>
        <w:t>T. evansi</w:t>
      </w:r>
      <w:r w:rsidRPr="00DC5D9F">
        <w:rPr>
          <w:rFonts w:eastAsia="Calibri"/>
          <w:bCs/>
          <w:bdr w:val="none" w:sz="0" w:space="0" w:color="auto" w:frame="1"/>
          <w:lang w:val="en-GB"/>
        </w:rPr>
        <w:t xml:space="preserve"> et </w:t>
      </w:r>
      <w:r w:rsidRPr="00DC5D9F">
        <w:rPr>
          <w:rFonts w:eastAsia="Calibri"/>
          <w:bCs/>
          <w:i/>
          <w:iCs/>
          <w:bdr w:val="none" w:sz="0" w:space="0" w:color="auto" w:frame="1"/>
          <w:lang w:val="en-GB"/>
        </w:rPr>
        <w:t>T. brucei</w:t>
      </w:r>
      <w:r w:rsidRPr="00DC5D9F">
        <w:rPr>
          <w:rFonts w:eastAsia="Calibri"/>
          <w:bCs/>
          <w:bdr w:val="none" w:sz="0" w:space="0" w:color="auto" w:frame="1"/>
          <w:lang w:val="en-GB"/>
        </w:rPr>
        <w:t xml:space="preserve">. De plus, il n'y avait aucune indication de génotoxicité comme confirmé par Vitotox®, les tests du micronoyau et des comètes. Des études sur le mode d'action de </w:t>
      </w:r>
      <w:r w:rsidRPr="005C5BD9">
        <w:rPr>
          <w:rFonts w:eastAsia="Calibri"/>
          <w:b/>
          <w:bdr w:val="none" w:sz="0" w:space="0" w:color="auto" w:frame="1"/>
          <w:lang w:val="en-GB"/>
        </w:rPr>
        <w:t>3</w:t>
      </w:r>
      <w:r w:rsidRPr="00DC5D9F">
        <w:rPr>
          <w:rFonts w:eastAsia="Calibri"/>
          <w:bCs/>
          <w:bdr w:val="none" w:sz="0" w:space="0" w:color="auto" w:frame="1"/>
          <w:lang w:val="en-GB"/>
        </w:rPr>
        <w:t xml:space="preserve"> ont révélé que le transporteur de nucléoside P1 et l'adénosine kinase sont respectivement impliqués dans l'absorption et l'activation du médicament. Compte tenu du profil de produit cible pour un médicament à large spectre contre l</w:t>
      </w:r>
      <w:r w:rsidR="005C5BD9">
        <w:rPr>
          <w:rFonts w:eastAsia="Calibri"/>
          <w:bCs/>
          <w:bdr w:val="none" w:sz="0" w:space="0" w:color="auto" w:frame="1"/>
          <w:lang w:val="en-GB"/>
        </w:rPr>
        <w:t>e TA</w:t>
      </w:r>
      <w:r w:rsidRPr="00DC5D9F">
        <w:rPr>
          <w:rFonts w:eastAsia="Calibri"/>
          <w:bCs/>
          <w:bdr w:val="none" w:sz="0" w:space="0" w:color="auto" w:frame="1"/>
          <w:lang w:val="en-GB"/>
        </w:rPr>
        <w:t xml:space="preserve">, l'analogue </w:t>
      </w:r>
      <w:r w:rsidRPr="005C5BD9">
        <w:rPr>
          <w:rFonts w:eastAsia="Calibri"/>
          <w:b/>
          <w:bdr w:val="none" w:sz="0" w:space="0" w:color="auto" w:frame="1"/>
          <w:lang w:val="en-GB"/>
        </w:rPr>
        <w:t>3</w:t>
      </w:r>
      <w:r w:rsidRPr="00DC5D9F">
        <w:rPr>
          <w:rFonts w:eastAsia="Calibri"/>
          <w:bCs/>
          <w:bdr w:val="none" w:sz="0" w:space="0" w:color="auto" w:frame="1"/>
          <w:lang w:val="en-GB"/>
        </w:rPr>
        <w:t xml:space="preserve"> représente un candidat prometteur.</w:t>
      </w:r>
    </w:p>
    <w:sectPr w:rsidR="00366D41" w:rsidRPr="00366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4B07"/>
    <w:multiLevelType w:val="hybridMultilevel"/>
    <w:tmpl w:val="B90A3EBE"/>
    <w:lvl w:ilvl="0" w:tplc="7592ED5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6276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36"/>
    <w:rsid w:val="000251E1"/>
    <w:rsid w:val="000C0EF8"/>
    <w:rsid w:val="00203C13"/>
    <w:rsid w:val="00276B46"/>
    <w:rsid w:val="00336278"/>
    <w:rsid w:val="00366D41"/>
    <w:rsid w:val="003C53E7"/>
    <w:rsid w:val="003D0584"/>
    <w:rsid w:val="0040061D"/>
    <w:rsid w:val="004A5E0C"/>
    <w:rsid w:val="004D274C"/>
    <w:rsid w:val="00504811"/>
    <w:rsid w:val="005C5BD9"/>
    <w:rsid w:val="006636C5"/>
    <w:rsid w:val="00696BC6"/>
    <w:rsid w:val="00A03A81"/>
    <w:rsid w:val="00A46936"/>
    <w:rsid w:val="00B81B01"/>
    <w:rsid w:val="00C16E7E"/>
    <w:rsid w:val="00DC5D9F"/>
    <w:rsid w:val="00DE2F9E"/>
    <w:rsid w:val="00E6497B"/>
    <w:rsid w:val="00E9035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50D9"/>
  <w15:chartTrackingRefBased/>
  <w15:docId w15:val="{25246FD8-DE92-48D6-86A5-0F9EE288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8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nfo">
    <w:name w:val="Author Info"/>
    <w:basedOn w:val="Normal"/>
    <w:rsid w:val="00504811"/>
    <w:pPr>
      <w:tabs>
        <w:tab w:val="right" w:pos="8640"/>
      </w:tabs>
      <w:spacing w:after="0" w:line="480" w:lineRule="auto"/>
      <w:jc w:val="center"/>
    </w:pPr>
    <w:rPr>
      <w:rFonts w:ascii="Times New Roman" w:eastAsia="Times New Roman" w:hAnsi="Times New Roman" w:cs="Times New Roman"/>
      <w:sz w:val="24"/>
      <w:szCs w:val="24"/>
    </w:rPr>
  </w:style>
  <w:style w:type="paragraph" w:customStyle="1" w:styleId="AbstractText">
    <w:name w:val="Abstract Text"/>
    <w:basedOn w:val="BodyText"/>
    <w:rsid w:val="00504811"/>
    <w:pPr>
      <w:keepNext/>
      <w:tabs>
        <w:tab w:val="right" w:pos="8640"/>
      </w:tabs>
      <w:spacing w:after="0" w:line="480" w:lineRule="auto"/>
    </w:pPr>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504811"/>
    <w:pPr>
      <w:spacing w:after="120"/>
    </w:pPr>
  </w:style>
  <w:style w:type="character" w:customStyle="1" w:styleId="BodyTextChar">
    <w:name w:val="Body Text Char"/>
    <w:basedOn w:val="DefaultParagraphFont"/>
    <w:link w:val="BodyText"/>
    <w:uiPriority w:val="99"/>
    <w:semiHidden/>
    <w:rsid w:val="00504811"/>
    <w:rPr>
      <w:lang w:val="en-US"/>
    </w:rPr>
  </w:style>
  <w:style w:type="paragraph" w:styleId="ListParagraph">
    <w:name w:val="List Paragraph"/>
    <w:basedOn w:val="Normal"/>
    <w:uiPriority w:val="34"/>
    <w:qFormat/>
    <w:rsid w:val="00025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Kayhan Ilbeigi</dc:creator>
  <cp:keywords/>
  <dc:description/>
  <cp:lastModifiedBy>Microsoft Office User</cp:lastModifiedBy>
  <cp:revision>2</cp:revision>
  <dcterms:created xsi:type="dcterms:W3CDTF">2023-10-02T03:10:00Z</dcterms:created>
  <dcterms:modified xsi:type="dcterms:W3CDTF">2023-10-02T03:10:00Z</dcterms:modified>
</cp:coreProperties>
</file>